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1619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25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исковому заявлению Югорского фонда капитального ремонта многоквартирных домов к Маврину Павлу Владимировичу о взыскании задолженности по взносам на капитальный ремонт общего имущества в многоквартирном доме,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пени и судебных расходов,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ГПК РФ,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 Югорского фонда капитального ремонта многоквартирных домов – удовлетворить частично.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Маврина Павла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 Югорского фонда капитального ремонта многоквартирных домов </w:t>
      </w:r>
      <w:r>
        <w:rPr>
          <w:rStyle w:val="cat-UserDefinedgrp-2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пропорционально доли в праве общей долевой собственности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задолженность по оплате взноса на капитальный ремонт общего имущества в многоквартирном доме в пределах сроков исковой давности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период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01.11.2022 года по 30.06.2025 года в </w:t>
      </w:r>
      <w:r>
        <w:rPr>
          <w:rFonts w:ascii="Times New Roman" w:eastAsia="Times New Roman" w:hAnsi="Times New Roman" w:cs="Times New Roman"/>
          <w:sz w:val="27"/>
          <w:szCs w:val="27"/>
        </w:rPr>
        <w:t>размере 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041,97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просрочку обязательств по уплате взноса на капитальный ремонт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учетом ст. 333 ГК РФ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11.12.2022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30.06.2025 года в размере 500,00 руб., </w:t>
      </w:r>
      <w:r>
        <w:rPr>
          <w:rFonts w:ascii="Times New Roman" w:eastAsia="Times New Roman" w:hAnsi="Times New Roman" w:cs="Times New Roman"/>
          <w:sz w:val="27"/>
          <w:szCs w:val="27"/>
        </w:rPr>
        <w:t>а также расходы по уплате государственной пошлины в размере 4 000,00 руб.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1619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6">
    <w:name w:val="cat-UserDefined grp-19 rplc-6"/>
    <w:basedOn w:val="DefaultParagraphFont"/>
  </w:style>
  <w:style w:type="character" w:customStyle="1" w:styleId="cat-UserDefinedgrp-20rplc-11">
    <w:name w:val="cat-UserDefined grp-2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